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63DF" w14:textId="77777777" w:rsidR="000929BA" w:rsidRDefault="000929BA" w:rsidP="000929BA">
      <w:pPr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2023 Poll</w:t>
      </w:r>
    </w:p>
    <w:p w14:paraId="5DE71649" w14:textId="77777777" w:rsidR="000929BA" w:rsidRDefault="000929BA" w:rsidP="000929BA">
      <w:pPr>
        <w:rPr>
          <w:rFonts w:ascii="Arial" w:hAnsi="Arial" w:cs="Arial"/>
          <w:b/>
          <w:bCs/>
          <w:color w:val="000000"/>
          <w:szCs w:val="24"/>
        </w:rPr>
      </w:pPr>
    </w:p>
    <w:p w14:paraId="5BB3D635" w14:textId="18C52347" w:rsidR="000929BA" w:rsidRPr="00FB1A47" w:rsidRDefault="000929BA" w:rsidP="000929BA">
      <w:pPr>
        <w:rPr>
          <w:rFonts w:ascii="Arial" w:hAnsi="Arial" w:cs="Arial"/>
          <w:b/>
          <w:bCs/>
          <w:color w:val="000000"/>
          <w:szCs w:val="24"/>
        </w:rPr>
      </w:pPr>
      <w:r w:rsidRPr="00FB1A47">
        <w:rPr>
          <w:rFonts w:ascii="Arial" w:hAnsi="Arial" w:cs="Arial"/>
          <w:b/>
          <w:bCs/>
          <w:color w:val="000000"/>
          <w:szCs w:val="24"/>
        </w:rPr>
        <w:t>Should men who identify as women (often called “transwomen”) be allowed to have free and unchecked entry into all designated single-sex spaces for women and girls?</w:t>
      </w:r>
    </w:p>
    <w:p w14:paraId="1D2D90E3" w14:textId="77777777" w:rsidR="000929BA" w:rsidRDefault="000929BA" w:rsidP="000929BA">
      <w:pPr>
        <w:rPr>
          <w:rFonts w:ascii="-webkit-standard" w:hAnsi="-webkit-standard"/>
          <w:color w:val="000000"/>
          <w:sz w:val="27"/>
          <w:szCs w:val="27"/>
        </w:rPr>
      </w:pPr>
    </w:p>
    <w:p w14:paraId="781C21F0" w14:textId="77777777" w:rsidR="000929BA" w:rsidRPr="00FB1A47" w:rsidRDefault="000929BA" w:rsidP="000929BA">
      <w:pPr>
        <w:autoSpaceDE w:val="0"/>
        <w:autoSpaceDN w:val="0"/>
        <w:adjustRightInd w:val="0"/>
        <w:rPr>
          <w:rFonts w:ascii="Times New Roman" w:hAnsi="Times New Roman"/>
          <w:szCs w:val="24"/>
          <w:lang w:val="en-GB" w:eastAsia="en-GB"/>
        </w:rPr>
      </w:pPr>
    </w:p>
    <w:tbl>
      <w:tblPr>
        <w:tblW w:w="149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1"/>
        <w:gridCol w:w="927"/>
        <w:gridCol w:w="1052"/>
        <w:gridCol w:w="894"/>
        <w:gridCol w:w="894"/>
        <w:gridCol w:w="1001"/>
        <w:gridCol w:w="1001"/>
        <w:gridCol w:w="894"/>
        <w:gridCol w:w="894"/>
        <w:gridCol w:w="894"/>
        <w:gridCol w:w="894"/>
        <w:gridCol w:w="875"/>
        <w:gridCol w:w="961"/>
        <w:gridCol w:w="894"/>
        <w:gridCol w:w="55"/>
      </w:tblGrid>
      <w:tr w:rsidR="000929BA" w:rsidRPr="00FB1A47" w14:paraId="70F43E3B" w14:textId="77777777" w:rsidTr="005144A2">
        <w:trPr>
          <w:cantSplit/>
        </w:trPr>
        <w:tc>
          <w:tcPr>
            <w:tcW w:w="149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EED58" w14:textId="40E8764C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  <w:lang w:val="en-GB" w:eastAsia="en-GB"/>
              </w:rPr>
            </w:pPr>
            <w:r w:rsidRPr="00FB1A47">
              <w:rPr>
                <w:rFonts w:ascii="Arial" w:hAnsi="Arial" w:cs="Arial"/>
                <w:b/>
                <w:bCs/>
                <w:color w:val="010205"/>
                <w:sz w:val="28"/>
                <w:szCs w:val="28"/>
                <w:lang w:val="en-GB" w:eastAsia="en-GB"/>
              </w:rPr>
              <w:t xml:space="preserve">Allow men who identify as women into women's only spaces BY </w:t>
            </w:r>
            <w:r w:rsidR="00393A36">
              <w:rPr>
                <w:rFonts w:ascii="Arial" w:hAnsi="Arial" w:cs="Arial"/>
                <w:b/>
                <w:bCs/>
                <w:color w:val="010205"/>
                <w:sz w:val="28"/>
                <w:szCs w:val="28"/>
                <w:lang w:val="en-GB" w:eastAsia="en-GB"/>
              </w:rPr>
              <w:t>Sex</w:t>
            </w:r>
            <w:r w:rsidRPr="00FB1A47">
              <w:rPr>
                <w:rFonts w:ascii="Arial" w:hAnsi="Arial" w:cs="Arial"/>
                <w:b/>
                <w:bCs/>
                <w:color w:val="010205"/>
                <w:sz w:val="28"/>
                <w:szCs w:val="28"/>
                <w:lang w:val="en-GB" w:eastAsia="en-GB"/>
              </w:rPr>
              <w:t xml:space="preserve"> + Age + Area</w:t>
            </w:r>
          </w:p>
        </w:tc>
      </w:tr>
      <w:tr w:rsidR="000929BA" w:rsidRPr="00FB1A47" w14:paraId="72DB9A23" w14:textId="77777777" w:rsidTr="00772316">
        <w:trPr>
          <w:gridAfter w:val="1"/>
          <w:wAfter w:w="55" w:type="dxa"/>
          <w:cantSplit/>
        </w:trPr>
        <w:tc>
          <w:tcPr>
            <w:tcW w:w="374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5044189" w14:textId="77777777" w:rsidR="000929BA" w:rsidRPr="00FB1A47" w:rsidRDefault="000929BA" w:rsidP="005144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en-GB" w:eastAsia="en-GB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14:paraId="6F531862" w14:textId="1669FA47" w:rsidR="000929BA" w:rsidRPr="00FB1A47" w:rsidRDefault="00393A36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>
              <w:rPr>
                <w:rFonts w:ascii="Arial" w:hAnsi="Arial" w:cs="Arial"/>
                <w:color w:val="264A60"/>
                <w:szCs w:val="24"/>
                <w:lang w:val="en-GB" w:eastAsia="en-GB"/>
              </w:rPr>
              <w:t>Sex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14:paraId="61DB4BDB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Age</w:t>
            </w:r>
          </w:p>
        </w:tc>
        <w:tc>
          <w:tcPr>
            <w:tcW w:w="5412" w:type="dxa"/>
            <w:gridSpan w:val="6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9EBE6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Area</w:t>
            </w:r>
          </w:p>
        </w:tc>
      </w:tr>
      <w:tr w:rsidR="000929BA" w:rsidRPr="00FB1A47" w14:paraId="62BB31D8" w14:textId="77777777" w:rsidTr="00772316">
        <w:trPr>
          <w:gridAfter w:val="1"/>
          <w:wAfter w:w="55" w:type="dxa"/>
          <w:cantSplit/>
        </w:trPr>
        <w:tc>
          <w:tcPr>
            <w:tcW w:w="374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DB52AC5" w14:textId="77777777" w:rsidR="000929BA" w:rsidRPr="00FB1A47" w:rsidRDefault="000929BA" w:rsidP="005144A2">
            <w:pPr>
              <w:autoSpaceDE w:val="0"/>
              <w:autoSpaceDN w:val="0"/>
              <w:adjustRightInd w:val="0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A36C3B9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Female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1FF694D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Male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E776153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Total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4DD8965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18 - 39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1ECA2CF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40 - 59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E2EC51A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60+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34C517B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Akl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1DED020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proofErr w:type="spellStart"/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Wgtn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BE31971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proofErr w:type="spellStart"/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Chch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253D845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proofErr w:type="spellStart"/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Prov</w:t>
            </w:r>
            <w:proofErr w:type="spellEnd"/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 xml:space="preserve"> Cities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59CAF33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Towns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6FA1317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Rural</w:t>
            </w:r>
          </w:p>
        </w:tc>
      </w:tr>
      <w:tr w:rsidR="000929BA" w:rsidRPr="00FB1A47" w14:paraId="03BD3A56" w14:textId="77777777" w:rsidTr="00772316">
        <w:trPr>
          <w:gridAfter w:val="1"/>
          <w:wAfter w:w="55" w:type="dxa"/>
          <w:cantSplit/>
        </w:trPr>
        <w:tc>
          <w:tcPr>
            <w:tcW w:w="37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274192A" w14:textId="77777777" w:rsidR="000929BA" w:rsidRPr="00FB1A47" w:rsidRDefault="000929BA" w:rsidP="005144A2">
            <w:pPr>
              <w:autoSpaceDE w:val="0"/>
              <w:autoSpaceDN w:val="0"/>
              <w:adjustRightInd w:val="0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F63719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Col %</w:t>
            </w:r>
          </w:p>
        </w:tc>
        <w:tc>
          <w:tcPr>
            <w:tcW w:w="8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ACA7ED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Col %</w:t>
            </w:r>
          </w:p>
        </w:tc>
        <w:tc>
          <w:tcPr>
            <w:tcW w:w="8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B31407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Col %</w:t>
            </w:r>
          </w:p>
        </w:tc>
        <w:tc>
          <w:tcPr>
            <w:tcW w:w="10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141DB9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Col %</w:t>
            </w:r>
          </w:p>
        </w:tc>
        <w:tc>
          <w:tcPr>
            <w:tcW w:w="10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C4F922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Col %</w:t>
            </w:r>
          </w:p>
        </w:tc>
        <w:tc>
          <w:tcPr>
            <w:tcW w:w="8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96464D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Col %</w:t>
            </w:r>
          </w:p>
        </w:tc>
        <w:tc>
          <w:tcPr>
            <w:tcW w:w="8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13AD40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Col %</w:t>
            </w:r>
          </w:p>
        </w:tc>
        <w:tc>
          <w:tcPr>
            <w:tcW w:w="8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EA2958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Col %</w:t>
            </w:r>
          </w:p>
        </w:tc>
        <w:tc>
          <w:tcPr>
            <w:tcW w:w="8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40FE8A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Col %</w:t>
            </w:r>
          </w:p>
        </w:tc>
        <w:tc>
          <w:tcPr>
            <w:tcW w:w="8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71F1B7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Col %</w:t>
            </w:r>
          </w:p>
        </w:tc>
        <w:tc>
          <w:tcPr>
            <w:tcW w:w="9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52BD70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Col %</w:t>
            </w:r>
          </w:p>
        </w:tc>
        <w:tc>
          <w:tcPr>
            <w:tcW w:w="8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FFFFFF"/>
            <w:vAlign w:val="bottom"/>
          </w:tcPr>
          <w:p w14:paraId="483A6839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Col %</w:t>
            </w:r>
          </w:p>
        </w:tc>
      </w:tr>
      <w:tr w:rsidR="000929BA" w:rsidRPr="00FB1A47" w14:paraId="616B4873" w14:textId="77777777" w:rsidTr="00772316">
        <w:trPr>
          <w:gridAfter w:val="1"/>
          <w:wAfter w:w="55" w:type="dxa"/>
          <w:cantSplit/>
        </w:trPr>
        <w:tc>
          <w:tcPr>
            <w:tcW w:w="282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73B0BD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Allow men who identify as women into women's only spaces</w:t>
            </w:r>
          </w:p>
        </w:tc>
        <w:tc>
          <w:tcPr>
            <w:tcW w:w="9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2A4FFEAE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Yes</w:t>
            </w:r>
          </w:p>
        </w:tc>
        <w:tc>
          <w:tcPr>
            <w:tcW w:w="1052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EA1FA4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30%</w:t>
            </w:r>
          </w:p>
        </w:tc>
        <w:tc>
          <w:tcPr>
            <w:tcW w:w="8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CCCCE5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39%</w:t>
            </w:r>
          </w:p>
        </w:tc>
        <w:tc>
          <w:tcPr>
            <w:tcW w:w="8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DD1967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34%</w:t>
            </w:r>
          </w:p>
        </w:tc>
        <w:tc>
          <w:tcPr>
            <w:tcW w:w="100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243E56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44%</w:t>
            </w:r>
          </w:p>
        </w:tc>
        <w:tc>
          <w:tcPr>
            <w:tcW w:w="100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7852BE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37%</w:t>
            </w:r>
          </w:p>
        </w:tc>
        <w:tc>
          <w:tcPr>
            <w:tcW w:w="8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0B1345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25%</w:t>
            </w:r>
          </w:p>
        </w:tc>
        <w:tc>
          <w:tcPr>
            <w:tcW w:w="8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EF2C83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38%</w:t>
            </w:r>
          </w:p>
        </w:tc>
        <w:tc>
          <w:tcPr>
            <w:tcW w:w="8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8B6D64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43%</w:t>
            </w:r>
          </w:p>
        </w:tc>
        <w:tc>
          <w:tcPr>
            <w:tcW w:w="8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F059F6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48%</w:t>
            </w:r>
          </w:p>
        </w:tc>
        <w:tc>
          <w:tcPr>
            <w:tcW w:w="8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B81AE5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32%</w:t>
            </w:r>
          </w:p>
        </w:tc>
        <w:tc>
          <w:tcPr>
            <w:tcW w:w="9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EC8593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26%</w:t>
            </w:r>
          </w:p>
        </w:tc>
        <w:tc>
          <w:tcPr>
            <w:tcW w:w="8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75CD560E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30%</w:t>
            </w:r>
          </w:p>
        </w:tc>
      </w:tr>
      <w:tr w:rsidR="000929BA" w:rsidRPr="00FB1A47" w14:paraId="347EC816" w14:textId="77777777" w:rsidTr="00772316">
        <w:trPr>
          <w:gridAfter w:val="1"/>
          <w:wAfter w:w="55" w:type="dxa"/>
          <w:cantSplit/>
        </w:trPr>
        <w:tc>
          <w:tcPr>
            <w:tcW w:w="282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C75D3C" w14:textId="77777777" w:rsidR="000929BA" w:rsidRPr="00FB1A47" w:rsidRDefault="000929BA" w:rsidP="005144A2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</w:p>
        </w:tc>
        <w:tc>
          <w:tcPr>
            <w:tcW w:w="9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5A50B17E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No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B621C9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49%</w:t>
            </w:r>
          </w:p>
        </w:tc>
        <w:tc>
          <w:tcPr>
            <w:tcW w:w="8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3B1541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44%</w:t>
            </w:r>
          </w:p>
        </w:tc>
        <w:tc>
          <w:tcPr>
            <w:tcW w:w="8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AB3469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47%</w:t>
            </w:r>
          </w:p>
        </w:tc>
        <w:tc>
          <w:tcPr>
            <w:tcW w:w="10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0652CC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36%</w:t>
            </w:r>
          </w:p>
        </w:tc>
        <w:tc>
          <w:tcPr>
            <w:tcW w:w="10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A32DDB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48%</w:t>
            </w:r>
          </w:p>
        </w:tc>
        <w:tc>
          <w:tcPr>
            <w:tcW w:w="8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230AEC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54%</w:t>
            </w:r>
          </w:p>
        </w:tc>
        <w:tc>
          <w:tcPr>
            <w:tcW w:w="8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66A37B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39%</w:t>
            </w:r>
          </w:p>
        </w:tc>
        <w:tc>
          <w:tcPr>
            <w:tcW w:w="8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9A4B73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38%</w:t>
            </w:r>
          </w:p>
        </w:tc>
        <w:tc>
          <w:tcPr>
            <w:tcW w:w="8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4D433B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35%</w:t>
            </w:r>
          </w:p>
        </w:tc>
        <w:tc>
          <w:tcPr>
            <w:tcW w:w="8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192113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51%</w:t>
            </w:r>
          </w:p>
        </w:tc>
        <w:tc>
          <w:tcPr>
            <w:tcW w:w="9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16AC4C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55%</w:t>
            </w:r>
          </w:p>
        </w:tc>
        <w:tc>
          <w:tcPr>
            <w:tcW w:w="8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1DDCA3A6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54%</w:t>
            </w:r>
          </w:p>
        </w:tc>
      </w:tr>
      <w:tr w:rsidR="000929BA" w:rsidRPr="00FB1A47" w14:paraId="16E1BD11" w14:textId="77777777" w:rsidTr="00772316">
        <w:trPr>
          <w:gridAfter w:val="1"/>
          <w:wAfter w:w="55" w:type="dxa"/>
          <w:cantSplit/>
        </w:trPr>
        <w:tc>
          <w:tcPr>
            <w:tcW w:w="282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CEB0FB" w14:textId="77777777" w:rsidR="000929BA" w:rsidRPr="00FB1A47" w:rsidRDefault="000929BA" w:rsidP="005144A2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</w:p>
        </w:tc>
        <w:tc>
          <w:tcPr>
            <w:tcW w:w="9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E0E0E0"/>
          </w:tcPr>
          <w:p w14:paraId="5A6887D7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264A60"/>
                <w:szCs w:val="24"/>
                <w:lang w:val="en-GB" w:eastAsia="en-GB"/>
              </w:rPr>
              <w:t>Unsure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77302A47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20%</w:t>
            </w:r>
          </w:p>
        </w:tc>
        <w:tc>
          <w:tcPr>
            <w:tcW w:w="894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0DD2EA92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18%</w:t>
            </w:r>
          </w:p>
        </w:tc>
        <w:tc>
          <w:tcPr>
            <w:tcW w:w="894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6F7D916B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19%</w:t>
            </w:r>
          </w:p>
        </w:tc>
        <w:tc>
          <w:tcPr>
            <w:tcW w:w="1001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3F40A06B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20%</w:t>
            </w:r>
          </w:p>
        </w:tc>
        <w:tc>
          <w:tcPr>
            <w:tcW w:w="1001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2D570E1A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16%</w:t>
            </w:r>
          </w:p>
        </w:tc>
        <w:tc>
          <w:tcPr>
            <w:tcW w:w="894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7FC4BE21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22%</w:t>
            </w:r>
          </w:p>
        </w:tc>
        <w:tc>
          <w:tcPr>
            <w:tcW w:w="894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39BEEB27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23%</w:t>
            </w:r>
          </w:p>
        </w:tc>
        <w:tc>
          <w:tcPr>
            <w:tcW w:w="894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6C50180C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19%</w:t>
            </w:r>
          </w:p>
        </w:tc>
        <w:tc>
          <w:tcPr>
            <w:tcW w:w="894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57B77F3E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17%</w:t>
            </w:r>
          </w:p>
        </w:tc>
        <w:tc>
          <w:tcPr>
            <w:tcW w:w="875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3599432B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18%</w:t>
            </w:r>
          </w:p>
        </w:tc>
        <w:tc>
          <w:tcPr>
            <w:tcW w:w="961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53B293B3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19%</w:t>
            </w:r>
          </w:p>
        </w:tc>
        <w:tc>
          <w:tcPr>
            <w:tcW w:w="894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4" w:space="0" w:color="auto"/>
            </w:tcBorders>
            <w:shd w:val="clear" w:color="auto" w:fill="F9F9FB"/>
          </w:tcPr>
          <w:p w14:paraId="04D91405" w14:textId="77777777" w:rsidR="000929BA" w:rsidRPr="00FB1A47" w:rsidRDefault="000929BA" w:rsidP="005144A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Cs w:val="24"/>
                <w:lang w:val="en-GB" w:eastAsia="en-GB"/>
              </w:rPr>
            </w:pPr>
            <w:r w:rsidRPr="00FB1A47">
              <w:rPr>
                <w:rFonts w:ascii="Arial" w:hAnsi="Arial" w:cs="Arial"/>
                <w:color w:val="010205"/>
                <w:szCs w:val="24"/>
                <w:lang w:val="en-GB" w:eastAsia="en-GB"/>
              </w:rPr>
              <w:t>16%</w:t>
            </w:r>
          </w:p>
        </w:tc>
      </w:tr>
    </w:tbl>
    <w:p w14:paraId="6D1EDFF5" w14:textId="77777777" w:rsidR="000929BA" w:rsidRPr="00FB1A47" w:rsidRDefault="000929BA" w:rsidP="000929B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szCs w:val="24"/>
          <w:lang w:val="en-GB" w:eastAsia="en-GB"/>
        </w:rPr>
      </w:pPr>
    </w:p>
    <w:p w14:paraId="5482AF57" w14:textId="77777777" w:rsidR="000929BA" w:rsidRDefault="000929BA" w:rsidP="000929BA">
      <w:pPr>
        <w:rPr>
          <w:rFonts w:ascii="-webkit-standard" w:hAnsi="-webkit-standard"/>
          <w:color w:val="000000"/>
          <w:sz w:val="27"/>
          <w:szCs w:val="27"/>
        </w:rPr>
      </w:pPr>
    </w:p>
    <w:p w14:paraId="348D87D4" w14:textId="254E2AAC" w:rsidR="000929BA" w:rsidRDefault="005B1082" w:rsidP="000929BA">
      <w:pPr>
        <w:autoSpaceDE w:val="0"/>
        <w:autoSpaceDN w:val="0"/>
        <w:adjustRightInd w:val="0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 xml:space="preserve">47% are opposed to </w:t>
      </w:r>
      <w:r w:rsidR="000929BA">
        <w:rPr>
          <w:rFonts w:ascii="Arial" w:hAnsi="Arial" w:cs="Arial"/>
          <w:bCs/>
          <w:szCs w:val="18"/>
        </w:rPr>
        <w:t xml:space="preserve">allowing men who identify as women entry into single-sex spaces for women and girls, with </w:t>
      </w:r>
      <w:r>
        <w:rPr>
          <w:rFonts w:ascii="Arial" w:hAnsi="Arial" w:cs="Arial"/>
          <w:bCs/>
          <w:szCs w:val="18"/>
        </w:rPr>
        <w:t xml:space="preserve">34% of respondents in support and </w:t>
      </w:r>
      <w:r w:rsidR="000929BA">
        <w:rPr>
          <w:rFonts w:ascii="Arial" w:hAnsi="Arial" w:cs="Arial"/>
          <w:bCs/>
          <w:szCs w:val="18"/>
        </w:rPr>
        <w:t>16% unsure.</w:t>
      </w:r>
    </w:p>
    <w:p w14:paraId="34A0A715" w14:textId="77777777" w:rsidR="000929BA" w:rsidRDefault="000929BA" w:rsidP="000929BA">
      <w:pPr>
        <w:autoSpaceDE w:val="0"/>
        <w:autoSpaceDN w:val="0"/>
        <w:adjustRightInd w:val="0"/>
        <w:rPr>
          <w:rFonts w:ascii="Arial" w:hAnsi="Arial" w:cs="Arial"/>
          <w:bCs/>
          <w:szCs w:val="18"/>
        </w:rPr>
      </w:pPr>
    </w:p>
    <w:p w14:paraId="698342E8" w14:textId="22320470" w:rsidR="00E673EF" w:rsidRDefault="00B62041" w:rsidP="000929BA">
      <w:pPr>
        <w:autoSpaceDE w:val="0"/>
        <w:autoSpaceDN w:val="0"/>
        <w:adjustRightInd w:val="0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 xml:space="preserve">Both women and men are more likely to oppose than to support entry into single-sex spaces. </w:t>
      </w:r>
      <w:r w:rsidR="00E673EF">
        <w:rPr>
          <w:rFonts w:ascii="Arial" w:hAnsi="Arial" w:cs="Arial"/>
          <w:bCs/>
          <w:szCs w:val="18"/>
        </w:rPr>
        <w:t xml:space="preserve">Women more likely than men to be opposed (49% c.f. 44%). </w:t>
      </w:r>
      <w:r w:rsidR="000929BA">
        <w:rPr>
          <w:rFonts w:ascii="Arial" w:hAnsi="Arial" w:cs="Arial"/>
          <w:bCs/>
          <w:szCs w:val="18"/>
        </w:rPr>
        <w:t>More men than women are supportive, as are younger respondents</w:t>
      </w:r>
      <w:r w:rsidR="00E673EF">
        <w:rPr>
          <w:rFonts w:ascii="Arial" w:hAnsi="Arial" w:cs="Arial"/>
          <w:bCs/>
          <w:szCs w:val="18"/>
        </w:rPr>
        <w:t xml:space="preserve"> (44% aged 18-39 in favour)</w:t>
      </w:r>
      <w:r w:rsidR="000929BA">
        <w:rPr>
          <w:rFonts w:ascii="Arial" w:hAnsi="Arial" w:cs="Arial"/>
          <w:bCs/>
          <w:szCs w:val="18"/>
        </w:rPr>
        <w:t xml:space="preserve">. </w:t>
      </w:r>
      <w:r>
        <w:rPr>
          <w:rFonts w:ascii="Arial" w:hAnsi="Arial" w:cs="Arial"/>
          <w:bCs/>
          <w:szCs w:val="18"/>
        </w:rPr>
        <w:t xml:space="preserve">Over 40s more likely to oppose than support with 48% aged 40-59 and </w:t>
      </w:r>
      <w:r w:rsidR="00E673EF">
        <w:rPr>
          <w:rFonts w:ascii="Arial" w:hAnsi="Arial" w:cs="Arial"/>
          <w:bCs/>
          <w:szCs w:val="18"/>
        </w:rPr>
        <w:t xml:space="preserve">54% aged over 60 </w:t>
      </w:r>
      <w:r>
        <w:rPr>
          <w:rFonts w:ascii="Arial" w:hAnsi="Arial" w:cs="Arial"/>
          <w:bCs/>
          <w:szCs w:val="18"/>
        </w:rPr>
        <w:t xml:space="preserve">who </w:t>
      </w:r>
      <w:r w:rsidR="00E673EF">
        <w:rPr>
          <w:rFonts w:ascii="Arial" w:hAnsi="Arial" w:cs="Arial"/>
          <w:bCs/>
          <w:szCs w:val="18"/>
        </w:rPr>
        <w:t>are opposed.</w:t>
      </w:r>
    </w:p>
    <w:p w14:paraId="0E3B3C2B" w14:textId="77777777" w:rsidR="00E673EF" w:rsidRDefault="00E673EF" w:rsidP="000929BA">
      <w:pPr>
        <w:autoSpaceDE w:val="0"/>
        <w:autoSpaceDN w:val="0"/>
        <w:adjustRightInd w:val="0"/>
        <w:rPr>
          <w:rFonts w:ascii="Arial" w:hAnsi="Arial" w:cs="Arial"/>
          <w:bCs/>
          <w:szCs w:val="18"/>
        </w:rPr>
      </w:pPr>
    </w:p>
    <w:p w14:paraId="1236AD05" w14:textId="7BA9268F" w:rsidR="000929BA" w:rsidRDefault="00B62041" w:rsidP="000929BA">
      <w:pPr>
        <w:autoSpaceDE w:val="0"/>
        <w:autoSpaceDN w:val="0"/>
        <w:adjustRightInd w:val="0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>R</w:t>
      </w:r>
      <w:r w:rsidR="000929BA">
        <w:rPr>
          <w:rFonts w:ascii="Arial" w:hAnsi="Arial" w:cs="Arial"/>
          <w:bCs/>
          <w:szCs w:val="18"/>
        </w:rPr>
        <w:t xml:space="preserve">espondents in </w:t>
      </w:r>
      <w:r w:rsidR="00E673EF">
        <w:rPr>
          <w:rFonts w:ascii="Arial" w:hAnsi="Arial" w:cs="Arial"/>
          <w:bCs/>
          <w:szCs w:val="18"/>
        </w:rPr>
        <w:t>Wellington and Christchurch</w:t>
      </w:r>
      <w:r w:rsidR="000929BA">
        <w:rPr>
          <w:rFonts w:ascii="Arial" w:hAnsi="Arial" w:cs="Arial"/>
          <w:bCs/>
          <w:szCs w:val="18"/>
        </w:rPr>
        <w:t xml:space="preserve"> are more likely to be supportive than </w:t>
      </w:r>
      <w:r w:rsidR="00E673EF">
        <w:rPr>
          <w:rFonts w:ascii="Arial" w:hAnsi="Arial" w:cs="Arial"/>
          <w:bCs/>
          <w:szCs w:val="18"/>
        </w:rPr>
        <w:t>opposed with Auckland split 50/50. R</w:t>
      </w:r>
      <w:r w:rsidR="000929BA">
        <w:rPr>
          <w:rFonts w:ascii="Arial" w:hAnsi="Arial" w:cs="Arial"/>
          <w:bCs/>
          <w:szCs w:val="18"/>
        </w:rPr>
        <w:t>espondents in provincial cities, towns or rural areas</w:t>
      </w:r>
      <w:r w:rsidR="00E673EF">
        <w:rPr>
          <w:rFonts w:ascii="Arial" w:hAnsi="Arial" w:cs="Arial"/>
          <w:bCs/>
          <w:szCs w:val="18"/>
        </w:rPr>
        <w:t xml:space="preserve"> </w:t>
      </w:r>
      <w:r>
        <w:rPr>
          <w:rFonts w:ascii="Arial" w:hAnsi="Arial" w:cs="Arial"/>
          <w:bCs/>
          <w:szCs w:val="18"/>
        </w:rPr>
        <w:t xml:space="preserve">are </w:t>
      </w:r>
      <w:r w:rsidR="00E673EF">
        <w:rPr>
          <w:rFonts w:ascii="Arial" w:hAnsi="Arial" w:cs="Arial"/>
          <w:bCs/>
          <w:szCs w:val="18"/>
        </w:rPr>
        <w:t>all majority opposed</w:t>
      </w:r>
      <w:r w:rsidR="000929BA">
        <w:rPr>
          <w:rFonts w:ascii="Arial" w:hAnsi="Arial" w:cs="Arial"/>
          <w:bCs/>
          <w:szCs w:val="18"/>
        </w:rPr>
        <w:t>.</w:t>
      </w:r>
    </w:p>
    <w:p w14:paraId="2057AFAE" w14:textId="77777777" w:rsidR="00615942" w:rsidRDefault="00615942"/>
    <w:p w14:paraId="3BB0F45A" w14:textId="77777777" w:rsidR="000929BA" w:rsidRDefault="000929BA"/>
    <w:p w14:paraId="419E718D" w14:textId="77777777" w:rsidR="00E673EF" w:rsidRDefault="00E673EF">
      <w:pPr>
        <w:spacing w:after="160" w:line="27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90EBC83" w14:textId="2E77B66E" w:rsidR="000929BA" w:rsidRPr="00E673EF" w:rsidRDefault="000929BA">
      <w:pPr>
        <w:rPr>
          <w:rFonts w:ascii="Arial" w:hAnsi="Arial" w:cs="Arial"/>
          <w:b/>
          <w:bCs/>
        </w:rPr>
      </w:pPr>
      <w:r w:rsidRPr="00E673EF">
        <w:rPr>
          <w:rFonts w:ascii="Arial" w:hAnsi="Arial" w:cs="Arial"/>
          <w:b/>
          <w:bCs/>
        </w:rPr>
        <w:lastRenderedPageBreak/>
        <w:t>2026 Poll</w:t>
      </w:r>
    </w:p>
    <w:p w14:paraId="58D9C731" w14:textId="77777777" w:rsidR="000929BA" w:rsidRDefault="000929BA">
      <w:pPr>
        <w:rPr>
          <w:rFonts w:ascii="Arial" w:hAnsi="Arial" w:cs="Arial"/>
        </w:rPr>
      </w:pPr>
    </w:p>
    <w:p w14:paraId="49601957" w14:textId="77777777" w:rsidR="000929BA" w:rsidRPr="00F7356B" w:rsidRDefault="000929BA" w:rsidP="000929BA">
      <w:pPr>
        <w:rPr>
          <w:rFonts w:ascii="Helvetica Neue" w:hAnsi="Helvetica Neue"/>
          <w:b/>
          <w:bCs/>
          <w:sz w:val="36"/>
          <w:szCs w:val="36"/>
          <w:shd w:val="clear" w:color="auto" w:fill="FFFFFF"/>
        </w:rPr>
      </w:pPr>
      <w:r w:rsidRPr="00F7356B">
        <w:rPr>
          <w:rFonts w:ascii="Helvetica Neue" w:hAnsi="Helvetica Neue"/>
          <w:b/>
          <w:bCs/>
          <w:sz w:val="25"/>
          <w:szCs w:val="25"/>
          <w:shd w:val="clear" w:color="auto" w:fill="FFFFFF"/>
        </w:rPr>
        <w:t>Should men who identify as women (often called “transwomen”) be allowed to have open entry into all designated single-sex spaces for women and girls?</w:t>
      </w:r>
    </w:p>
    <w:p w14:paraId="026A9038" w14:textId="77777777" w:rsidR="000929BA" w:rsidRDefault="000929BA" w:rsidP="000929BA">
      <w:pPr>
        <w:rPr>
          <w:rFonts w:ascii="Times New Roman" w:hAnsi="Times New Roman"/>
        </w:rPr>
      </w:pPr>
    </w:p>
    <w:tbl>
      <w:tblPr>
        <w:tblW w:w="6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941"/>
        <w:gridCol w:w="1186"/>
        <w:gridCol w:w="1186"/>
      </w:tblGrid>
      <w:tr w:rsidR="000929BA" w14:paraId="45EC3515" w14:textId="77777777" w:rsidTr="005144A2">
        <w:trPr>
          <w:cantSplit/>
        </w:trPr>
        <w:tc>
          <w:tcPr>
            <w:tcW w:w="380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D2B59CF" w14:textId="77777777" w:rsidR="000929BA" w:rsidRDefault="000929BA" w:rsidP="005144A2">
            <w:pPr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212D26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18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CDD834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</w:tr>
      <w:tr w:rsidR="000929BA" w14:paraId="69F8D2B7" w14:textId="77777777" w:rsidTr="005144A2">
        <w:trPr>
          <w:cantSplit/>
        </w:trPr>
        <w:tc>
          <w:tcPr>
            <w:tcW w:w="285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BD3994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Allow transwomen open entry into single-sex spaces for women</w:t>
            </w:r>
          </w:p>
        </w:tc>
        <w:tc>
          <w:tcPr>
            <w:tcW w:w="9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56992A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Yes</w:t>
            </w:r>
          </w:p>
        </w:tc>
        <w:tc>
          <w:tcPr>
            <w:tcW w:w="118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3EB527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241</w:t>
            </w:r>
          </w:p>
        </w:tc>
        <w:tc>
          <w:tcPr>
            <w:tcW w:w="11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CB86B4B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24%</w:t>
            </w:r>
          </w:p>
        </w:tc>
      </w:tr>
      <w:tr w:rsidR="000929BA" w14:paraId="29F89389" w14:textId="77777777" w:rsidTr="005144A2">
        <w:trPr>
          <w:cantSplit/>
        </w:trPr>
        <w:tc>
          <w:tcPr>
            <w:tcW w:w="28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B8B8B6" w14:textId="77777777" w:rsidR="000929BA" w:rsidRDefault="000929BA" w:rsidP="005144A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9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92C5C2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No</w:t>
            </w:r>
          </w:p>
        </w:tc>
        <w:tc>
          <w:tcPr>
            <w:tcW w:w="11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B95A53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552</w:t>
            </w:r>
          </w:p>
        </w:tc>
        <w:tc>
          <w:tcPr>
            <w:tcW w:w="11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4CAFA7D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55%</w:t>
            </w:r>
          </w:p>
        </w:tc>
      </w:tr>
      <w:tr w:rsidR="000929BA" w14:paraId="42FCAFB3" w14:textId="77777777" w:rsidTr="005144A2">
        <w:trPr>
          <w:cantSplit/>
        </w:trPr>
        <w:tc>
          <w:tcPr>
            <w:tcW w:w="28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40A7A4" w14:textId="77777777" w:rsidR="000929BA" w:rsidRDefault="000929BA" w:rsidP="005144A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9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6C1340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Unsure</w:t>
            </w:r>
          </w:p>
        </w:tc>
        <w:tc>
          <w:tcPr>
            <w:tcW w:w="11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2B3B77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203</w:t>
            </w:r>
          </w:p>
        </w:tc>
        <w:tc>
          <w:tcPr>
            <w:tcW w:w="11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1952D6E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20%</w:t>
            </w:r>
          </w:p>
        </w:tc>
      </w:tr>
      <w:tr w:rsidR="000929BA" w14:paraId="210FE18F" w14:textId="77777777" w:rsidTr="005144A2">
        <w:trPr>
          <w:cantSplit/>
        </w:trPr>
        <w:tc>
          <w:tcPr>
            <w:tcW w:w="28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ED3E97" w14:textId="77777777" w:rsidR="000929BA" w:rsidRDefault="000929BA" w:rsidP="005144A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9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871B86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18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437901C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996</w:t>
            </w:r>
          </w:p>
        </w:tc>
        <w:tc>
          <w:tcPr>
            <w:tcW w:w="11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2A0775C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</w:tr>
    </w:tbl>
    <w:p w14:paraId="778C3003" w14:textId="77777777" w:rsidR="000929BA" w:rsidRDefault="000929BA">
      <w:pPr>
        <w:rPr>
          <w:rFonts w:ascii="Arial" w:hAnsi="Arial" w:cs="Arial"/>
        </w:rPr>
      </w:pPr>
    </w:p>
    <w:p w14:paraId="76167937" w14:textId="20BDC03C" w:rsidR="000929BA" w:rsidRPr="000929BA" w:rsidRDefault="000929BA" w:rsidP="000929BA">
      <w:pPr>
        <w:rPr>
          <w:rFonts w:ascii="Arial" w:hAnsi="Arial" w:cs="Arial"/>
          <w:szCs w:val="24"/>
          <w:shd w:val="clear" w:color="auto" w:fill="FFFFFF"/>
        </w:rPr>
      </w:pPr>
      <w:r w:rsidRPr="000929BA">
        <w:rPr>
          <w:rFonts w:ascii="Arial" w:hAnsi="Arial" w:cs="Arial"/>
          <w:szCs w:val="24"/>
          <w:shd w:val="clear" w:color="auto" w:fill="FFFFFF"/>
        </w:rPr>
        <w:t>24% of respondents support open entry for transwomen</w:t>
      </w:r>
      <w:r w:rsidR="00B62041">
        <w:rPr>
          <w:rFonts w:ascii="Arial" w:hAnsi="Arial" w:cs="Arial"/>
          <w:szCs w:val="24"/>
          <w:shd w:val="clear" w:color="auto" w:fill="FFFFFF"/>
        </w:rPr>
        <w:t xml:space="preserve"> (was 34%)</w:t>
      </w:r>
      <w:r w:rsidRPr="000929BA">
        <w:rPr>
          <w:rFonts w:ascii="Arial" w:hAnsi="Arial" w:cs="Arial"/>
          <w:szCs w:val="24"/>
          <w:shd w:val="clear" w:color="auto" w:fill="FFFFFF"/>
        </w:rPr>
        <w:t xml:space="preserve">, with 55% opposed </w:t>
      </w:r>
      <w:r w:rsidR="00B62041">
        <w:rPr>
          <w:rFonts w:ascii="Arial" w:hAnsi="Arial" w:cs="Arial"/>
          <w:szCs w:val="24"/>
          <w:shd w:val="clear" w:color="auto" w:fill="FFFFFF"/>
        </w:rPr>
        <w:t xml:space="preserve">(was 47%) </w:t>
      </w:r>
      <w:r w:rsidRPr="000929BA">
        <w:rPr>
          <w:rFonts w:ascii="Arial" w:hAnsi="Arial" w:cs="Arial"/>
          <w:szCs w:val="24"/>
          <w:shd w:val="clear" w:color="auto" w:fill="FFFFFF"/>
        </w:rPr>
        <w:t>and 20% unsure</w:t>
      </w:r>
      <w:r w:rsidR="00B62041">
        <w:rPr>
          <w:rFonts w:ascii="Arial" w:hAnsi="Arial" w:cs="Arial"/>
          <w:szCs w:val="24"/>
          <w:shd w:val="clear" w:color="auto" w:fill="FFFFFF"/>
        </w:rPr>
        <w:t xml:space="preserve"> (was 19%)</w:t>
      </w:r>
      <w:r w:rsidRPr="000929BA">
        <w:rPr>
          <w:rFonts w:ascii="Arial" w:hAnsi="Arial" w:cs="Arial"/>
          <w:szCs w:val="24"/>
          <w:shd w:val="clear" w:color="auto" w:fill="FFFFFF"/>
        </w:rPr>
        <w:t>.</w:t>
      </w:r>
    </w:p>
    <w:p w14:paraId="6F932381" w14:textId="77777777" w:rsidR="00E673EF" w:rsidRDefault="00E673EF" w:rsidP="000929BA">
      <w:pPr>
        <w:rPr>
          <w:rFonts w:ascii="Arial" w:hAnsi="Arial" w:cs="Arial"/>
          <w:szCs w:val="24"/>
          <w:shd w:val="clear" w:color="auto" w:fill="FFFFFF"/>
        </w:rPr>
      </w:pPr>
    </w:p>
    <w:p w14:paraId="2C3643A3" w14:textId="77777777" w:rsidR="000929BA" w:rsidRDefault="000929BA" w:rsidP="000929BA">
      <w:pPr>
        <w:rPr>
          <w:rFonts w:ascii="Times New Roman" w:hAnsi="Times New Roman"/>
        </w:rPr>
      </w:pPr>
    </w:p>
    <w:tbl>
      <w:tblPr>
        <w:tblW w:w="6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941"/>
        <w:gridCol w:w="1186"/>
        <w:gridCol w:w="1186"/>
      </w:tblGrid>
      <w:tr w:rsidR="000929BA" w14:paraId="07D177B8" w14:textId="77777777" w:rsidTr="00B62041">
        <w:trPr>
          <w:cantSplit/>
        </w:trPr>
        <w:tc>
          <w:tcPr>
            <w:tcW w:w="38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8167E6" w14:textId="77777777" w:rsidR="000929BA" w:rsidRDefault="000929BA" w:rsidP="005144A2">
            <w:pPr>
              <w:rPr>
                <w:rFonts w:ascii="Arial" w:hAnsi="Arial" w:cs="Arial"/>
                <w:color w:val="264A6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77BD4BE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Female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49D7655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Male</w:t>
            </w:r>
          </w:p>
        </w:tc>
      </w:tr>
      <w:tr w:rsidR="000929BA" w14:paraId="046C47AE" w14:textId="77777777" w:rsidTr="00B62041">
        <w:trPr>
          <w:cantSplit/>
        </w:trPr>
        <w:tc>
          <w:tcPr>
            <w:tcW w:w="38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EA8359" w14:textId="77777777" w:rsidR="000929BA" w:rsidRDefault="000929BA" w:rsidP="005144A2">
            <w:pPr>
              <w:rPr>
                <w:rFonts w:ascii="Arial" w:hAnsi="Arial" w:cs="Arial"/>
                <w:color w:val="264A6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BD94F9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08CB4D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</w:tr>
      <w:tr w:rsidR="000929BA" w14:paraId="03925CE9" w14:textId="77777777" w:rsidTr="00B62041">
        <w:trPr>
          <w:cantSplit/>
        </w:trPr>
        <w:tc>
          <w:tcPr>
            <w:tcW w:w="28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0697AE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Allow transwomen open entry into single-sex spaces for women</w:t>
            </w:r>
          </w:p>
        </w:tc>
        <w:tc>
          <w:tcPr>
            <w:tcW w:w="9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F5D444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Yes</w:t>
            </w:r>
          </w:p>
        </w:tc>
        <w:tc>
          <w:tcPr>
            <w:tcW w:w="118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DCF751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26%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108A442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22%</w:t>
            </w:r>
          </w:p>
        </w:tc>
      </w:tr>
      <w:tr w:rsidR="000929BA" w14:paraId="2813DDA6" w14:textId="77777777" w:rsidTr="00B62041">
        <w:trPr>
          <w:cantSplit/>
        </w:trPr>
        <w:tc>
          <w:tcPr>
            <w:tcW w:w="28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02FD76" w14:textId="77777777" w:rsidR="000929BA" w:rsidRDefault="000929BA" w:rsidP="005144A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9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C24ECB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No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557AB1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51%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950B3EF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61%</w:t>
            </w:r>
          </w:p>
        </w:tc>
      </w:tr>
      <w:tr w:rsidR="000929BA" w14:paraId="69596034" w14:textId="77777777" w:rsidTr="00B62041">
        <w:trPr>
          <w:cantSplit/>
        </w:trPr>
        <w:tc>
          <w:tcPr>
            <w:tcW w:w="28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2AECAB" w14:textId="77777777" w:rsidR="000929BA" w:rsidRDefault="000929BA" w:rsidP="005144A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9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C61AEA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Unsure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033EBA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23%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88A367D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17%</w:t>
            </w:r>
          </w:p>
        </w:tc>
      </w:tr>
      <w:tr w:rsidR="000929BA" w14:paraId="32610E7D" w14:textId="77777777" w:rsidTr="00B62041">
        <w:trPr>
          <w:cantSplit/>
        </w:trPr>
        <w:tc>
          <w:tcPr>
            <w:tcW w:w="28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CCA267" w14:textId="77777777" w:rsidR="000929BA" w:rsidRDefault="000929BA" w:rsidP="005144A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9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7F1864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BD79F66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A0AFB8D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</w:tr>
    </w:tbl>
    <w:p w14:paraId="671DAFF6" w14:textId="77777777" w:rsidR="00B62041" w:rsidRDefault="00B62041" w:rsidP="00B62041">
      <w:pPr>
        <w:rPr>
          <w:rFonts w:ascii="Arial" w:hAnsi="Arial" w:cs="Arial"/>
          <w:szCs w:val="24"/>
          <w:shd w:val="clear" w:color="auto" w:fill="FFFFFF"/>
        </w:rPr>
      </w:pPr>
    </w:p>
    <w:p w14:paraId="03E3D6E6" w14:textId="4F98DBDF" w:rsidR="00B62041" w:rsidRPr="000929BA" w:rsidRDefault="00B62041" w:rsidP="00B62041">
      <w:pPr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 xml:space="preserve">Now </w:t>
      </w:r>
      <w:r w:rsidRPr="000929BA">
        <w:rPr>
          <w:rFonts w:ascii="Arial" w:hAnsi="Arial" w:cs="Arial"/>
          <w:szCs w:val="24"/>
          <w:shd w:val="clear" w:color="auto" w:fill="FFFFFF"/>
        </w:rPr>
        <w:t>more men than women are opposed (61% c.f. 51%) with more women than men who are supportive (2</w:t>
      </w:r>
      <w:r>
        <w:rPr>
          <w:rFonts w:ascii="Arial" w:hAnsi="Arial" w:cs="Arial"/>
          <w:szCs w:val="24"/>
          <w:shd w:val="clear" w:color="auto" w:fill="FFFFFF"/>
        </w:rPr>
        <w:t>6</w:t>
      </w:r>
      <w:r w:rsidRPr="000929BA">
        <w:rPr>
          <w:rFonts w:ascii="Arial" w:hAnsi="Arial" w:cs="Arial"/>
          <w:szCs w:val="24"/>
          <w:shd w:val="clear" w:color="auto" w:fill="FFFFFF"/>
        </w:rPr>
        <w:t>% c.f. 2</w:t>
      </w:r>
      <w:r>
        <w:rPr>
          <w:rFonts w:ascii="Arial" w:hAnsi="Arial" w:cs="Arial"/>
          <w:szCs w:val="24"/>
          <w:shd w:val="clear" w:color="auto" w:fill="FFFFFF"/>
        </w:rPr>
        <w:t>2</w:t>
      </w:r>
      <w:r w:rsidRPr="000929BA">
        <w:rPr>
          <w:rFonts w:ascii="Arial" w:hAnsi="Arial" w:cs="Arial"/>
          <w:szCs w:val="24"/>
          <w:shd w:val="clear" w:color="auto" w:fill="FFFFFF"/>
        </w:rPr>
        <w:t>%)</w:t>
      </w:r>
      <w:r>
        <w:rPr>
          <w:rFonts w:ascii="Arial" w:hAnsi="Arial" w:cs="Arial"/>
          <w:szCs w:val="24"/>
          <w:shd w:val="clear" w:color="auto" w:fill="FFFFFF"/>
        </w:rPr>
        <w:t>. Big shift is men being opposed (from 44% to 61%).</w:t>
      </w:r>
    </w:p>
    <w:p w14:paraId="5075A913" w14:textId="77777777" w:rsidR="000929BA" w:rsidRDefault="000929BA" w:rsidP="000929BA">
      <w:pPr>
        <w:spacing w:line="400" w:lineRule="atLeast"/>
        <w:rPr>
          <w:rFonts w:ascii="Times New Roman" w:hAnsi="Times New Roman"/>
        </w:rPr>
      </w:pPr>
    </w:p>
    <w:tbl>
      <w:tblPr>
        <w:tblW w:w="7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941"/>
        <w:gridCol w:w="1186"/>
        <w:gridCol w:w="1186"/>
        <w:gridCol w:w="1186"/>
      </w:tblGrid>
      <w:tr w:rsidR="000929BA" w14:paraId="2699B834" w14:textId="77777777" w:rsidTr="005144A2">
        <w:trPr>
          <w:cantSplit/>
        </w:trPr>
        <w:tc>
          <w:tcPr>
            <w:tcW w:w="38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284AC8" w14:textId="77777777" w:rsidR="000929BA" w:rsidRDefault="000929BA" w:rsidP="005144A2">
            <w:pPr>
              <w:rPr>
                <w:rFonts w:ascii="Times New Roman" w:hAnsi="Times New Roman"/>
              </w:rPr>
            </w:pP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C9BE64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Age</w:t>
            </w:r>
          </w:p>
        </w:tc>
      </w:tr>
      <w:tr w:rsidR="000929BA" w14:paraId="563F539C" w14:textId="77777777" w:rsidTr="005144A2">
        <w:trPr>
          <w:cantSplit/>
        </w:trPr>
        <w:tc>
          <w:tcPr>
            <w:tcW w:w="3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3C6D5E" w14:textId="77777777" w:rsidR="000929BA" w:rsidRDefault="000929BA" w:rsidP="005144A2">
            <w:pPr>
              <w:rPr>
                <w:rFonts w:ascii="Arial" w:hAnsi="Arial" w:cs="Arial"/>
                <w:color w:val="264A6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33C9E1F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18 - 39</w:t>
            </w:r>
          </w:p>
        </w:tc>
        <w:tc>
          <w:tcPr>
            <w:tcW w:w="118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8ABF31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40 - 59</w:t>
            </w:r>
          </w:p>
        </w:tc>
        <w:tc>
          <w:tcPr>
            <w:tcW w:w="1185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0D5698E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60+</w:t>
            </w:r>
          </w:p>
        </w:tc>
      </w:tr>
      <w:tr w:rsidR="000929BA" w14:paraId="7F0C3372" w14:textId="77777777" w:rsidTr="005144A2">
        <w:trPr>
          <w:cantSplit/>
        </w:trPr>
        <w:tc>
          <w:tcPr>
            <w:tcW w:w="3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777E82" w14:textId="77777777" w:rsidR="000929BA" w:rsidRDefault="000929BA" w:rsidP="005144A2">
            <w:pPr>
              <w:rPr>
                <w:rFonts w:ascii="Arial" w:hAnsi="Arial" w:cs="Arial"/>
                <w:color w:val="264A6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3D1E36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  <w:tc>
          <w:tcPr>
            <w:tcW w:w="11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BCE76A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  <w:tc>
          <w:tcPr>
            <w:tcW w:w="118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06B9A1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</w:tr>
      <w:tr w:rsidR="000929BA" w14:paraId="7934E72E" w14:textId="77777777" w:rsidTr="005144A2">
        <w:trPr>
          <w:cantSplit/>
        </w:trPr>
        <w:tc>
          <w:tcPr>
            <w:tcW w:w="285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1E9414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Allow transwomen open entry into single-sex spaces for women</w:t>
            </w:r>
          </w:p>
        </w:tc>
        <w:tc>
          <w:tcPr>
            <w:tcW w:w="9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2379E4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Yes</w:t>
            </w:r>
          </w:p>
        </w:tc>
        <w:tc>
          <w:tcPr>
            <w:tcW w:w="118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07E343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30%</w:t>
            </w:r>
          </w:p>
        </w:tc>
        <w:tc>
          <w:tcPr>
            <w:tcW w:w="11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A66D77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20%</w:t>
            </w:r>
          </w:p>
        </w:tc>
        <w:tc>
          <w:tcPr>
            <w:tcW w:w="11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EC225E6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23%</w:t>
            </w:r>
          </w:p>
        </w:tc>
      </w:tr>
      <w:tr w:rsidR="000929BA" w14:paraId="7431B75F" w14:textId="77777777" w:rsidTr="005144A2">
        <w:trPr>
          <w:cantSplit/>
        </w:trPr>
        <w:tc>
          <w:tcPr>
            <w:tcW w:w="28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95CF03" w14:textId="77777777" w:rsidR="000929BA" w:rsidRDefault="000929BA" w:rsidP="005144A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9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33974E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No</w:t>
            </w:r>
          </w:p>
        </w:tc>
        <w:tc>
          <w:tcPr>
            <w:tcW w:w="11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4076DC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48%</w:t>
            </w:r>
          </w:p>
        </w:tc>
        <w:tc>
          <w:tcPr>
            <w:tcW w:w="11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1CA292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59%</w:t>
            </w:r>
          </w:p>
        </w:tc>
        <w:tc>
          <w:tcPr>
            <w:tcW w:w="11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295B445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60%</w:t>
            </w:r>
          </w:p>
        </w:tc>
      </w:tr>
      <w:tr w:rsidR="000929BA" w14:paraId="5F0C4802" w14:textId="77777777" w:rsidTr="005144A2">
        <w:trPr>
          <w:cantSplit/>
        </w:trPr>
        <w:tc>
          <w:tcPr>
            <w:tcW w:w="28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549E8A" w14:textId="77777777" w:rsidR="000929BA" w:rsidRDefault="000929BA" w:rsidP="005144A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9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52E4AE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Unsure</w:t>
            </w:r>
          </w:p>
        </w:tc>
        <w:tc>
          <w:tcPr>
            <w:tcW w:w="11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1BCB2A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22%</w:t>
            </w:r>
          </w:p>
        </w:tc>
        <w:tc>
          <w:tcPr>
            <w:tcW w:w="11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4DF017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21%</w:t>
            </w:r>
          </w:p>
        </w:tc>
        <w:tc>
          <w:tcPr>
            <w:tcW w:w="11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8005011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17%</w:t>
            </w:r>
          </w:p>
        </w:tc>
      </w:tr>
      <w:tr w:rsidR="000929BA" w14:paraId="638EFFD1" w14:textId="77777777" w:rsidTr="005144A2">
        <w:trPr>
          <w:cantSplit/>
        </w:trPr>
        <w:tc>
          <w:tcPr>
            <w:tcW w:w="28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335887" w14:textId="77777777" w:rsidR="000929BA" w:rsidRDefault="000929BA" w:rsidP="005144A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9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D83126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18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9E24D40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  <w:tc>
          <w:tcPr>
            <w:tcW w:w="11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9BA9745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  <w:tc>
          <w:tcPr>
            <w:tcW w:w="11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64A1833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</w:tr>
    </w:tbl>
    <w:p w14:paraId="249B54F1" w14:textId="77777777" w:rsidR="000929BA" w:rsidRDefault="000929BA">
      <w:pPr>
        <w:rPr>
          <w:rFonts w:ascii="Arial" w:hAnsi="Arial" w:cs="Arial"/>
        </w:rPr>
      </w:pPr>
    </w:p>
    <w:p w14:paraId="681BA2CC" w14:textId="77777777" w:rsidR="000929BA" w:rsidRDefault="000929BA">
      <w:pPr>
        <w:rPr>
          <w:rFonts w:ascii="Arial" w:hAnsi="Arial" w:cs="Arial"/>
        </w:rPr>
      </w:pPr>
    </w:p>
    <w:tbl>
      <w:tblPr>
        <w:tblW w:w="9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958"/>
        <w:gridCol w:w="1050"/>
        <w:gridCol w:w="1050"/>
        <w:gridCol w:w="1050"/>
        <w:gridCol w:w="1142"/>
        <w:gridCol w:w="1050"/>
        <w:gridCol w:w="1050"/>
      </w:tblGrid>
      <w:tr w:rsidR="000929BA" w14:paraId="243A8FDF" w14:textId="77777777" w:rsidTr="005144A2">
        <w:trPr>
          <w:cantSplit/>
        </w:trPr>
        <w:tc>
          <w:tcPr>
            <w:tcW w:w="33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35A63D" w14:textId="77777777" w:rsidR="000929BA" w:rsidRDefault="000929BA" w:rsidP="005144A2">
            <w:pPr>
              <w:rPr>
                <w:rFonts w:ascii="Times New Roman" w:hAnsi="Times New Roman"/>
              </w:rPr>
            </w:pPr>
          </w:p>
        </w:tc>
        <w:tc>
          <w:tcPr>
            <w:tcW w:w="6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374ABA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Area</w:t>
            </w:r>
          </w:p>
        </w:tc>
      </w:tr>
      <w:tr w:rsidR="000929BA" w14:paraId="090C1F81" w14:textId="77777777" w:rsidTr="005144A2">
        <w:trPr>
          <w:cantSplit/>
        </w:trPr>
        <w:tc>
          <w:tcPr>
            <w:tcW w:w="33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AE30BB" w14:textId="77777777" w:rsidR="000929BA" w:rsidRDefault="000929BA" w:rsidP="005144A2">
            <w:pPr>
              <w:rPr>
                <w:rFonts w:ascii="Arial" w:hAnsi="Arial" w:cs="Arial"/>
                <w:color w:val="264A6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906427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Akl</w:t>
            </w:r>
          </w:p>
        </w:tc>
        <w:tc>
          <w:tcPr>
            <w:tcW w:w="1050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C5F0D80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Wgtn</w:t>
            </w:r>
          </w:p>
        </w:tc>
        <w:tc>
          <w:tcPr>
            <w:tcW w:w="1050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595BF77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>
              <w:rPr>
                <w:rFonts w:ascii="Arial" w:hAnsi="Arial" w:cs="Arial"/>
                <w:color w:val="264A60"/>
              </w:rPr>
              <w:t>Chch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CDF1B83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Prov Cities</w:t>
            </w:r>
          </w:p>
        </w:tc>
        <w:tc>
          <w:tcPr>
            <w:tcW w:w="1050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2F3DEB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Towns</w:t>
            </w:r>
          </w:p>
        </w:tc>
        <w:tc>
          <w:tcPr>
            <w:tcW w:w="1050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D67253B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Rural</w:t>
            </w:r>
          </w:p>
        </w:tc>
      </w:tr>
      <w:tr w:rsidR="000929BA" w14:paraId="28C695D2" w14:textId="77777777" w:rsidTr="005144A2">
        <w:trPr>
          <w:cantSplit/>
        </w:trPr>
        <w:tc>
          <w:tcPr>
            <w:tcW w:w="33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214DE3" w14:textId="77777777" w:rsidR="000929BA" w:rsidRDefault="000929BA" w:rsidP="005144A2">
            <w:pPr>
              <w:rPr>
                <w:rFonts w:ascii="Arial" w:hAnsi="Arial" w:cs="Arial"/>
                <w:color w:val="264A6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B5D5E1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  <w:tc>
          <w:tcPr>
            <w:tcW w:w="10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DAFF78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  <w:tc>
          <w:tcPr>
            <w:tcW w:w="10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875331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8F6C45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  <w:tc>
          <w:tcPr>
            <w:tcW w:w="10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397B71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  <w:tc>
          <w:tcPr>
            <w:tcW w:w="10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4178DD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</w:tr>
      <w:tr w:rsidR="000929BA" w14:paraId="0EB8E0E2" w14:textId="77777777" w:rsidTr="005144A2">
        <w:trPr>
          <w:cantSplit/>
        </w:trPr>
        <w:tc>
          <w:tcPr>
            <w:tcW w:w="241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6E6377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Allow transwomen open entry into single-sex spaces for women</w:t>
            </w:r>
          </w:p>
        </w:tc>
        <w:tc>
          <w:tcPr>
            <w:tcW w:w="9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EAC5B0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Yes</w:t>
            </w:r>
          </w:p>
        </w:tc>
        <w:tc>
          <w:tcPr>
            <w:tcW w:w="105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AEDBA4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28%</w:t>
            </w:r>
          </w:p>
        </w:tc>
        <w:tc>
          <w:tcPr>
            <w:tcW w:w="10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2CC8DD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34%</w:t>
            </w:r>
          </w:p>
        </w:tc>
        <w:tc>
          <w:tcPr>
            <w:tcW w:w="10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22BF86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17%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1A271B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24%</w:t>
            </w:r>
          </w:p>
        </w:tc>
        <w:tc>
          <w:tcPr>
            <w:tcW w:w="10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5B3630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24%</w:t>
            </w:r>
          </w:p>
        </w:tc>
        <w:tc>
          <w:tcPr>
            <w:tcW w:w="10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33AB830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17%</w:t>
            </w:r>
          </w:p>
        </w:tc>
      </w:tr>
      <w:tr w:rsidR="000929BA" w14:paraId="322AE722" w14:textId="77777777" w:rsidTr="005144A2">
        <w:trPr>
          <w:cantSplit/>
        </w:trPr>
        <w:tc>
          <w:tcPr>
            <w:tcW w:w="24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97F09A" w14:textId="77777777" w:rsidR="000929BA" w:rsidRDefault="000929BA" w:rsidP="005144A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9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F62E1F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No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541D7F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53%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FC80DA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47%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E824BB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62%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D5E53D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59%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C81DB1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51%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127E28C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63%</w:t>
            </w:r>
          </w:p>
        </w:tc>
      </w:tr>
      <w:tr w:rsidR="000929BA" w14:paraId="631FC94D" w14:textId="77777777" w:rsidTr="005144A2">
        <w:trPr>
          <w:cantSplit/>
        </w:trPr>
        <w:tc>
          <w:tcPr>
            <w:tcW w:w="24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F1C7C3" w14:textId="77777777" w:rsidR="000929BA" w:rsidRDefault="000929BA" w:rsidP="005144A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9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895777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Unsure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ED189E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19%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D63B91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19%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B80AAB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21%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7E3451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17%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A9B402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25%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26B8D7D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20%</w:t>
            </w:r>
          </w:p>
        </w:tc>
      </w:tr>
      <w:tr w:rsidR="000929BA" w14:paraId="0531528D" w14:textId="77777777" w:rsidTr="005144A2">
        <w:trPr>
          <w:cantSplit/>
        </w:trPr>
        <w:tc>
          <w:tcPr>
            <w:tcW w:w="24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7A8775" w14:textId="77777777" w:rsidR="000929BA" w:rsidRDefault="000929BA" w:rsidP="005144A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9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AB7057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4019578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BCFEA99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267A66E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D68A24E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22743BB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75E3C04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</w:tr>
    </w:tbl>
    <w:p w14:paraId="6E8428AE" w14:textId="77777777" w:rsidR="000929BA" w:rsidRDefault="000929BA">
      <w:pPr>
        <w:rPr>
          <w:rFonts w:ascii="Arial" w:hAnsi="Arial" w:cs="Arial"/>
        </w:rPr>
      </w:pPr>
    </w:p>
    <w:p w14:paraId="1E35EE49" w14:textId="77777777" w:rsidR="000929BA" w:rsidRDefault="000929BA">
      <w:pPr>
        <w:rPr>
          <w:rFonts w:ascii="Arial" w:hAnsi="Arial" w:cs="Arial"/>
        </w:rPr>
      </w:pPr>
    </w:p>
    <w:p w14:paraId="129B5FB2" w14:textId="472BB912" w:rsidR="000929BA" w:rsidRDefault="00B62041">
      <w:pPr>
        <w:rPr>
          <w:rFonts w:ascii="Arial" w:hAnsi="Arial" w:cs="Arial"/>
        </w:rPr>
      </w:pPr>
      <w:r>
        <w:rPr>
          <w:rFonts w:ascii="Arial" w:hAnsi="Arial" w:cs="Arial"/>
        </w:rPr>
        <w:t>Opposition has hardened up in all major cities with Aucklanders now 53% opposed (was 38%), Wellington now 47% opposed (was 39%), and Christchurch now 62% opposed</w:t>
      </w:r>
      <w:r w:rsidR="002C3024">
        <w:rPr>
          <w:rFonts w:ascii="Arial" w:hAnsi="Arial" w:cs="Arial"/>
        </w:rPr>
        <w:t xml:space="preserve"> (was 35%)</w:t>
      </w:r>
      <w:r>
        <w:rPr>
          <w:rFonts w:ascii="Arial" w:hAnsi="Arial" w:cs="Arial"/>
        </w:rPr>
        <w:t>.</w:t>
      </w:r>
      <w:r w:rsidR="002C3024">
        <w:rPr>
          <w:rFonts w:ascii="Arial" w:hAnsi="Arial" w:cs="Arial"/>
        </w:rPr>
        <w:t xml:space="preserve"> Provincial cities now 59% (was 51%), towns now 51% (was 55%), and rural now 63% (was 54%).</w:t>
      </w:r>
    </w:p>
    <w:p w14:paraId="04FCB405" w14:textId="77777777" w:rsidR="000929BA" w:rsidRDefault="000929BA">
      <w:pPr>
        <w:rPr>
          <w:rFonts w:ascii="Arial" w:hAnsi="Arial" w:cs="Arial"/>
        </w:rPr>
      </w:pPr>
    </w:p>
    <w:tbl>
      <w:tblPr>
        <w:tblW w:w="1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03"/>
        <w:gridCol w:w="1077"/>
        <w:gridCol w:w="1078"/>
        <w:gridCol w:w="1078"/>
        <w:gridCol w:w="1078"/>
        <w:gridCol w:w="1078"/>
        <w:gridCol w:w="1078"/>
        <w:gridCol w:w="1078"/>
      </w:tblGrid>
      <w:tr w:rsidR="000929BA" w14:paraId="6CBABF81" w14:textId="77777777" w:rsidTr="005144A2">
        <w:trPr>
          <w:cantSplit/>
        </w:trPr>
        <w:tc>
          <w:tcPr>
            <w:tcW w:w="34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537846" w14:textId="77777777" w:rsidR="000929BA" w:rsidRDefault="000929BA" w:rsidP="005144A2">
            <w:pPr>
              <w:rPr>
                <w:rFonts w:ascii="Times New Roman" w:hAnsi="Times New Roman"/>
              </w:rPr>
            </w:pPr>
          </w:p>
        </w:tc>
        <w:tc>
          <w:tcPr>
            <w:tcW w:w="7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39C802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Probed Party Vote</w:t>
            </w:r>
          </w:p>
        </w:tc>
      </w:tr>
      <w:tr w:rsidR="000929BA" w14:paraId="700B0B3F" w14:textId="77777777" w:rsidTr="005144A2">
        <w:trPr>
          <w:cantSplit/>
        </w:trPr>
        <w:tc>
          <w:tcPr>
            <w:tcW w:w="34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519C57" w14:textId="77777777" w:rsidR="000929BA" w:rsidRDefault="000929BA" w:rsidP="005144A2">
            <w:pPr>
              <w:rPr>
                <w:rFonts w:ascii="Arial" w:hAnsi="Arial" w:cs="Arial"/>
                <w:color w:val="264A6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CE7A5C5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National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DCF738C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Labour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A909ACC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TPM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88F7541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ACT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291FCE1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NZ First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59F1B68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Greens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3EB2C31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Unsure</w:t>
            </w:r>
          </w:p>
        </w:tc>
      </w:tr>
      <w:tr w:rsidR="000929BA" w14:paraId="36C8AC7D" w14:textId="77777777" w:rsidTr="005144A2">
        <w:trPr>
          <w:cantSplit/>
        </w:trPr>
        <w:tc>
          <w:tcPr>
            <w:tcW w:w="34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BB599C" w14:textId="77777777" w:rsidR="000929BA" w:rsidRDefault="000929BA" w:rsidP="005144A2">
            <w:pPr>
              <w:rPr>
                <w:rFonts w:ascii="Arial" w:hAnsi="Arial" w:cs="Arial"/>
                <w:color w:val="264A6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699AE7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6852AE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38B0FC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EA69DF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EC5DEF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DC966E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283D680" w14:textId="77777777" w:rsidR="000929BA" w:rsidRDefault="000929BA" w:rsidP="005144A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Col %</w:t>
            </w:r>
          </w:p>
        </w:tc>
      </w:tr>
      <w:tr w:rsidR="000929BA" w14:paraId="09B6467B" w14:textId="77777777" w:rsidTr="005144A2">
        <w:trPr>
          <w:cantSplit/>
        </w:trPr>
        <w:tc>
          <w:tcPr>
            <w:tcW w:w="255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8E15E5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Allow transwomen open entry into single-sex spaces for women</w:t>
            </w:r>
          </w:p>
        </w:tc>
        <w:tc>
          <w:tcPr>
            <w:tcW w:w="90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EACDE8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Yes</w:t>
            </w:r>
          </w:p>
        </w:tc>
        <w:tc>
          <w:tcPr>
            <w:tcW w:w="10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E9FD58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19%</w:t>
            </w:r>
          </w:p>
        </w:tc>
        <w:tc>
          <w:tcPr>
            <w:tcW w:w="10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A8FE6C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29%</w:t>
            </w:r>
          </w:p>
        </w:tc>
        <w:tc>
          <w:tcPr>
            <w:tcW w:w="10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354CD3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28%</w:t>
            </w:r>
          </w:p>
        </w:tc>
        <w:tc>
          <w:tcPr>
            <w:tcW w:w="10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D12175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22%</w:t>
            </w:r>
          </w:p>
        </w:tc>
        <w:tc>
          <w:tcPr>
            <w:tcW w:w="10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FD4112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16%</w:t>
            </w:r>
          </w:p>
        </w:tc>
        <w:tc>
          <w:tcPr>
            <w:tcW w:w="10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B638E3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36%</w:t>
            </w:r>
          </w:p>
        </w:tc>
        <w:tc>
          <w:tcPr>
            <w:tcW w:w="10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6B14523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3%</w:t>
            </w:r>
          </w:p>
        </w:tc>
      </w:tr>
      <w:tr w:rsidR="000929BA" w14:paraId="2A78E13B" w14:textId="77777777" w:rsidTr="005144A2">
        <w:trPr>
          <w:cantSplit/>
        </w:trPr>
        <w:tc>
          <w:tcPr>
            <w:tcW w:w="255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BA8C6A" w14:textId="77777777" w:rsidR="000929BA" w:rsidRDefault="000929BA" w:rsidP="005144A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9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A98D07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No</w:t>
            </w:r>
          </w:p>
        </w:tc>
        <w:tc>
          <w:tcPr>
            <w:tcW w:w="10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945389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65%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556A57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49%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DD4E98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32%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1CDF88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76%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B834BC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76%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CBB8FB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47%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884673A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18%</w:t>
            </w:r>
          </w:p>
        </w:tc>
      </w:tr>
      <w:tr w:rsidR="000929BA" w14:paraId="32B809B5" w14:textId="77777777" w:rsidTr="005144A2">
        <w:trPr>
          <w:cantSplit/>
        </w:trPr>
        <w:tc>
          <w:tcPr>
            <w:tcW w:w="255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656102" w14:textId="77777777" w:rsidR="000929BA" w:rsidRDefault="000929BA" w:rsidP="005144A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9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477BFF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Unsure</w:t>
            </w:r>
          </w:p>
        </w:tc>
        <w:tc>
          <w:tcPr>
            <w:tcW w:w="10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6C9943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17%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407EF2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22%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53016D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41%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6A8192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F9A91E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8%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D986AA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17%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0100C62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79%</w:t>
            </w:r>
          </w:p>
        </w:tc>
      </w:tr>
      <w:tr w:rsidR="000929BA" w14:paraId="7BE2BCA1" w14:textId="77777777" w:rsidTr="005144A2">
        <w:trPr>
          <w:cantSplit/>
        </w:trPr>
        <w:tc>
          <w:tcPr>
            <w:tcW w:w="255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593334" w14:textId="77777777" w:rsidR="000929BA" w:rsidRDefault="000929BA" w:rsidP="005144A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90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0E328C" w14:textId="77777777" w:rsidR="000929BA" w:rsidRDefault="000929BA" w:rsidP="005144A2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0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1B60AD7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FCA95C0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9DFB0B4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58ACDF2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90B8D9C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B448B90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FAAF0C0" w14:textId="77777777" w:rsidR="000929BA" w:rsidRDefault="000929BA" w:rsidP="005144A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100%</w:t>
            </w:r>
          </w:p>
        </w:tc>
      </w:tr>
    </w:tbl>
    <w:p w14:paraId="3EECDFD3" w14:textId="77777777" w:rsidR="000929BA" w:rsidRDefault="000929BA">
      <w:pPr>
        <w:rPr>
          <w:rFonts w:ascii="Arial" w:hAnsi="Arial" w:cs="Arial"/>
        </w:rPr>
      </w:pPr>
    </w:p>
    <w:p w14:paraId="6E0AFC90" w14:textId="0B5DF0D1" w:rsidR="002C3024" w:rsidRPr="000929BA" w:rsidRDefault="002C30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Party voters more likely to oppose than to support. Except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Pāti</w:t>
      </w:r>
      <w:proofErr w:type="spellEnd"/>
      <w:r>
        <w:rPr>
          <w:rFonts w:ascii="Arial" w:hAnsi="Arial" w:cs="Arial"/>
        </w:rPr>
        <w:t xml:space="preserve"> Māori voters, which is inconsistent with recent poll showing majority of TPM voters supporting the </w:t>
      </w:r>
      <w:r w:rsidR="005B1082">
        <w:rPr>
          <w:rFonts w:ascii="Arial" w:hAnsi="Arial" w:cs="Arial"/>
        </w:rPr>
        <w:t>Legislation (Definition of Woman and Man) Amendment Bill</w:t>
      </w:r>
      <w:r>
        <w:rPr>
          <w:rFonts w:ascii="Arial" w:hAnsi="Arial" w:cs="Arial"/>
        </w:rPr>
        <w:t>.</w:t>
      </w:r>
    </w:p>
    <w:sectPr w:rsidR="002C3024" w:rsidRPr="000929BA" w:rsidSect="000929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BA"/>
    <w:rsid w:val="000929BA"/>
    <w:rsid w:val="001C1680"/>
    <w:rsid w:val="002C3024"/>
    <w:rsid w:val="00393A36"/>
    <w:rsid w:val="00570DAC"/>
    <w:rsid w:val="005943AF"/>
    <w:rsid w:val="005B1082"/>
    <w:rsid w:val="00615942"/>
    <w:rsid w:val="00772316"/>
    <w:rsid w:val="00AA2ACD"/>
    <w:rsid w:val="00B62041"/>
    <w:rsid w:val="00E6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8DA32"/>
  <w15:chartTrackingRefBased/>
  <w15:docId w15:val="{F1C0531A-0872-4573-AB48-3AACE3DC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BA"/>
    <w:pPr>
      <w:spacing w:after="0" w:line="240" w:lineRule="auto"/>
    </w:pPr>
    <w:rPr>
      <w:rFonts w:ascii="Times" w:eastAsia="Times" w:hAnsi="Times" w:cs="Times New Roman"/>
      <w:kern w:val="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9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9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9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9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9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9B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9B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9B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9B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2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9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2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9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2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9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2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Ovens</dc:creator>
  <cp:keywords/>
  <dc:description/>
  <cp:lastModifiedBy>Jill Ovens</cp:lastModifiedBy>
  <cp:revision>2</cp:revision>
  <dcterms:created xsi:type="dcterms:W3CDTF">2026-06-11T10:48:00Z</dcterms:created>
  <dcterms:modified xsi:type="dcterms:W3CDTF">2026-06-11T10:48:00Z</dcterms:modified>
</cp:coreProperties>
</file>